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GLORIA INFALIA CHICANGANA GIRONZA</w:t>
      </w:r>
    </w:p>
    <w:p>
      <w:pPr>
        <w:pStyle w:val="Normal"/>
        <w:spacing w:lineRule="auto" w:line="240"/>
        <w:rPr>
          <w:rFonts w:ascii="Arial" w:hAnsi="Arial" w:eastAsia="Arial Unicode MS" w:cs="Arial"/>
          <w:kern w:val="2"/>
          <w:sz w:val="24"/>
          <w:szCs w:val="24"/>
          <w:lang w:eastAsia="ar-SA"/>
        </w:rPr>
      </w:pPr>
      <w:r>
        <w:rPr>
          <w:rFonts w:eastAsia="Arial Unicode MS" w:cs="Arial" w:ascii="Arial" w:hAnsi="Arial"/>
          <w:kern w:val="2"/>
          <w:sz w:val="24"/>
          <w:szCs w:val="24"/>
          <w:lang w:eastAsia="ar-SA"/>
        </w:rPr>
        <w:t>Calle 14 # 13 - 53</w:t>
      </w:r>
    </w:p>
    <w:p>
      <w:pPr>
        <w:pStyle w:val="Normal"/>
        <w:spacing w:lineRule="auto" w:line="240"/>
        <w:jc w:val="both"/>
        <w:rPr/>
      </w:pPr>
      <w:r>
        <w:rPr>
          <w:rFonts w:eastAsia="Arial Unicode MS" w:cs="Arial" w:ascii="Arial" w:hAnsi="Arial"/>
          <w:color w:val="auto"/>
          <w:kern w:val="2"/>
          <w:sz w:val="24"/>
          <w:szCs w:val="24"/>
          <w:lang w:val="es-CO" w:eastAsia="ar-SA" w:bidi="ar-SA"/>
        </w:rPr>
        <w:t>Tel: 3233120203</w:t>
      </w:r>
    </w:p>
    <w:p>
      <w:pPr>
        <w:pStyle w:val="Normal"/>
        <w:spacing w:lineRule="auto" w:line="240"/>
        <w:jc w:val="both"/>
        <w:rPr/>
      </w:pPr>
      <w:r>
        <w:rPr>
          <w:rFonts w:eastAsia="Arial Unicode MS" w:cs="Arial" w:ascii="Arial" w:hAnsi="Arial"/>
          <w:color w:val="auto"/>
          <w:kern w:val="2"/>
          <w:sz w:val="24"/>
          <w:szCs w:val="24"/>
          <w:lang w:val="es-CO" w:eastAsia="ar-SA" w:bidi="ar-SA"/>
        </w:rPr>
        <w:t>San Pascual / Comuna 3</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petición_Fumigación en todo Cali.</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 202441450100046692,</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720"/>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Normal"/>
        <w:tabs>
          <w:tab w:val="clear" w:pos="720"/>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De acuerdo con lo anterior, el Programa de ETV realiza diferentes actividades orientadas en la promoción de la salud y la prevención del dengue en todo el Distrito, teniendo para el año 2024 los siguientes resultados.: </w:t>
      </w:r>
    </w:p>
    <w:p>
      <w:pPr>
        <w:pStyle w:val="Normal"/>
        <w:tabs>
          <w:tab w:val="clear" w:pos="720"/>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Normal"/>
        <w:tabs>
          <w:tab w:val="clear" w:pos="720"/>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Sumideros:</w:t>
      </w:r>
    </w:p>
    <w:p>
      <w:pPr>
        <w:pStyle w:val="Normal"/>
        <w:tabs>
          <w:tab w:val="clear" w:pos="720"/>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Se realizaron </w:t>
      </w: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924.496 revisiones a sumideros en las 22 comunas de la ciudad. Índice Aédico &lt; 6,0 %.</w:t>
      </w:r>
    </w:p>
    <w:p>
      <w:pPr>
        <w:pStyle w:val="ListParagraph"/>
        <w:ind w:left="426" w:hanging="0"/>
        <w:jc w:val="both"/>
        <w:rPr>
          <w:rFonts w:ascii="Arial" w:hAnsi="Arial" w:eastAsia="Arial Unicode MS" w:cs="Times New Roman"/>
          <w:b w:val="false"/>
          <w:b w:val="false"/>
          <w:bCs/>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ListParagraph"/>
        <w:numPr>
          <w:ilvl w:val="0"/>
          <w:numId w:val="0"/>
        </w:numPr>
        <w:ind w:left="786"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Lugares de Concentración Humana:</w:t>
      </w:r>
    </w:p>
    <w:p>
      <w:pPr>
        <w:pStyle w:val="ListParagraph"/>
        <w:numPr>
          <w:ilvl w:val="0"/>
          <w:numId w:val="0"/>
        </w:numPr>
        <w:ind w:left="786"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
    </w:p>
    <w:p>
      <w:pPr>
        <w:pStyle w:val="ListParagraph"/>
        <w:numPr>
          <w:ilvl w:val="0"/>
          <w:numId w:val="0"/>
        </w:numPr>
        <w:ind w:left="786"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Se realizaron 8.888 visitas a Lugares de Concentración Humana para control o eliminación de criaderos de </w:t>
      </w:r>
      <w:r>
        <w:rPr>
          <w:rFonts w:eastAsia="Arial Unicode MS" w:cs="Times New Roman" w:ascii="Arial" w:hAnsi="Arial"/>
          <w:b w:val="false"/>
          <w:bCs/>
          <w:i/>
          <w:iCs/>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Aedes aegypti,</w:t>
      </w: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 1.533 en entorno Educativo, 258 en entorno Institucional y 7.097 en entorno laboral y comunitario. Se realizaron en 21 comunas y los corregimientos El Hormiguero, La Buitrera y Montebello.</w:t>
      </w:r>
    </w:p>
    <w:p>
      <w:pPr>
        <w:pStyle w:val="ListParagraph"/>
        <w:rPr>
          <w:rFonts w:ascii="Arial" w:hAnsi="Arial" w:eastAsia="Arial Unicode MS" w:cs="Times New Roman"/>
          <w:b w:val="false"/>
          <w:b w:val="false"/>
          <w:bCs/>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ListParagraph"/>
        <w:numPr>
          <w:ilvl w:val="0"/>
          <w:numId w:val="0"/>
        </w:numPr>
        <w:ind w:left="786"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Visitas a Vivienda:</w:t>
      </w:r>
    </w:p>
    <w:p>
      <w:pPr>
        <w:pStyle w:val="ListParagraph"/>
        <w:numPr>
          <w:ilvl w:val="0"/>
          <w:numId w:val="0"/>
        </w:numPr>
        <w:ind w:left="72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
    </w:p>
    <w:p>
      <w:pPr>
        <w:pStyle w:val="ListParagraph"/>
        <w:numPr>
          <w:ilvl w:val="0"/>
          <w:numId w:val="0"/>
        </w:numPr>
        <w:ind w:left="72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Se realizaron 43.387 visitas a viviendas para eliminación de criaderos de </w:t>
      </w:r>
      <w:r>
        <w:rPr>
          <w:rFonts w:eastAsia="Arial Unicode MS" w:cs="Times New Roman" w:ascii="Arial" w:hAnsi="Arial"/>
          <w:b w:val="false"/>
          <w:bCs/>
          <w:i/>
          <w:iCs/>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Ae. aegypti</w:t>
      </w: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 en 21 comunas y los corregimientos El Hormiguero, La Buitrera y Montebello; de las cuales 23.928 visitas fueron efectivas (se logró la inspección de la vivienda), 11.673 estaban cerradas y 7.786 fueron renuentes (no permitieron el ingreso del personal). Los barrios que aportaron la mayor proporción de viviendas positivas son: </w:t>
      </w:r>
      <w:r>
        <w:rPr>
          <w:rFonts w:eastAsia="Arial Unicode MS" w:cs="Times New Roman" w:ascii="Arial" w:hAnsi="Arial"/>
          <w:b w:val="false"/>
          <w:bCs/>
          <w:i w:val="false"/>
          <w:iCs/>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Normandía, Tejares – Cristales, Caney, Urb. La Merced, Altos de Menga, Pizamos I, Ciudadela Floralia, San Cristóbal, República de Israel, Mariano Ramos, Los Lagos y los corregimientos Montebello y El Hormiguero</w:t>
      </w: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w:t>
      </w:r>
    </w:p>
    <w:p>
      <w:pPr>
        <w:pStyle w:val="ListParagraph"/>
        <w:rPr>
          <w:rFonts w:ascii="Arial" w:hAnsi="Arial" w:eastAsia="Arial Unicode MS" w:cs="Times New Roman"/>
          <w:b w:val="false"/>
          <w:b w:val="false"/>
          <w:bCs/>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ListParagraph"/>
        <w:numPr>
          <w:ilvl w:val="0"/>
          <w:numId w:val="0"/>
        </w:numPr>
        <w:ind w:left="786"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
    </w:p>
    <w:p>
      <w:pPr>
        <w:pStyle w:val="ListParagraph"/>
        <w:numPr>
          <w:ilvl w:val="0"/>
          <w:numId w:val="0"/>
        </w:numPr>
        <w:ind w:left="786"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Fumigación con Motomochila:</w:t>
      </w:r>
    </w:p>
    <w:p>
      <w:pPr>
        <w:pStyle w:val="ListParagraph"/>
        <w:numPr>
          <w:ilvl w:val="0"/>
          <w:numId w:val="0"/>
        </w:numPr>
        <w:ind w:left="786"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
    </w:p>
    <w:p>
      <w:pPr>
        <w:pStyle w:val="ListParagraph"/>
        <w:numPr>
          <w:ilvl w:val="0"/>
          <w:numId w:val="0"/>
        </w:numPr>
        <w:ind w:left="72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Se realizaron 7.281 viviendas con aplicación de insecticida ULV con motomochila en 21 comunas y el corregimiento Montebello; en torno a casos de dengue grave o muerte probable notificados por las IPS a la Secretaría de Salud.</w:t>
      </w:r>
    </w:p>
    <w:p>
      <w:pPr>
        <w:pStyle w:val="ListParagraph"/>
        <w:rPr>
          <w:rFonts w:ascii="Arial" w:hAnsi="Arial" w:eastAsia="Arial Unicode MS" w:cs="Times New Roman"/>
          <w:b w:val="false"/>
          <w:b w:val="false"/>
          <w:bCs/>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ListParagraph"/>
        <w:numPr>
          <w:ilvl w:val="0"/>
          <w:numId w:val="0"/>
        </w:numPr>
        <w:ind w:left="786"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
    </w:p>
    <w:p>
      <w:pPr>
        <w:pStyle w:val="ListParagraph"/>
        <w:widowControl w:val="false"/>
        <w:numPr>
          <w:ilvl w:val="0"/>
          <w:numId w:val="0"/>
        </w:numPr>
        <w:suppressAutoHyphens w:val="true"/>
        <w:bidi w:val="0"/>
        <w:spacing w:before="0" w:after="0"/>
        <w:ind w:left="720" w:right="0" w:hanging="0"/>
        <w:contextualSpacing/>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Control Biológico:</w:t>
      </w:r>
    </w:p>
    <w:p>
      <w:pPr>
        <w:pStyle w:val="ListParagraph"/>
        <w:widowControl w:val="false"/>
        <w:numPr>
          <w:ilvl w:val="0"/>
          <w:numId w:val="0"/>
        </w:numPr>
        <w:suppressAutoHyphens w:val="true"/>
        <w:bidi w:val="0"/>
        <w:spacing w:before="0" w:after="0"/>
        <w:ind w:left="720" w:right="0" w:hanging="0"/>
        <w:contextualSpacing/>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
    </w:p>
    <w:p>
      <w:pPr>
        <w:pStyle w:val="ListParagraph"/>
        <w:widowControl w:val="false"/>
        <w:numPr>
          <w:ilvl w:val="0"/>
          <w:numId w:val="0"/>
        </w:numPr>
        <w:suppressAutoHyphens w:val="true"/>
        <w:bidi w:val="0"/>
        <w:spacing w:before="0" w:after="0"/>
        <w:ind w:left="720" w:right="0" w:hanging="0"/>
        <w:contextualSpacing/>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Se realizaron 2.364 acciones de control biológico con peces Guppies en 21 comunas, las cuales corresponden a: 1.929 inspecciones, 253 seguimientos, 109 resiembras y 74 siembras.</w:t>
      </w:r>
    </w:p>
    <w:p>
      <w:pPr>
        <w:pStyle w:val="ListParagraph"/>
        <w:rPr>
          <w:rFonts w:ascii="Arial" w:hAnsi="Arial" w:eastAsia="Arial Unicode MS" w:cs="Times New Roman"/>
          <w:b w:val="false"/>
          <w:b w:val="false"/>
          <w:bCs/>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ListParagraph"/>
        <w:widowControl w:val="false"/>
        <w:numPr>
          <w:ilvl w:val="0"/>
          <w:numId w:val="0"/>
        </w:numPr>
        <w:tabs>
          <w:tab w:val="clear" w:pos="720"/>
          <w:tab w:val="left" w:pos="75" w:leader="none"/>
        </w:tabs>
        <w:suppressAutoHyphens w:val="true"/>
        <w:bidi w:val="0"/>
        <w:spacing w:before="0" w:after="0"/>
        <w:ind w:left="720" w:right="0" w:hanging="0"/>
        <w:contextualSpacing/>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
    </w:p>
    <w:p>
      <w:pPr>
        <w:pStyle w:val="ListParagraph"/>
        <w:widowControl w:val="false"/>
        <w:numPr>
          <w:ilvl w:val="0"/>
          <w:numId w:val="0"/>
        </w:numPr>
        <w:tabs>
          <w:tab w:val="clear" w:pos="720"/>
          <w:tab w:val="left" w:pos="75" w:leader="none"/>
        </w:tabs>
        <w:suppressAutoHyphens w:val="true"/>
        <w:bidi w:val="0"/>
        <w:spacing w:before="0" w:after="0"/>
        <w:ind w:left="720" w:right="0" w:hanging="0"/>
        <w:contextualSpacing/>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Estrategia Educativa para la prevención de Dengue (Enfoque de Ecosalud): </w:t>
      </w:r>
    </w:p>
    <w:p>
      <w:pPr>
        <w:pStyle w:val="ListParagraph"/>
        <w:widowControl w:val="false"/>
        <w:numPr>
          <w:ilvl w:val="0"/>
          <w:numId w:val="0"/>
        </w:numPr>
        <w:tabs>
          <w:tab w:val="clear" w:pos="720"/>
          <w:tab w:val="left" w:pos="75" w:leader="none"/>
        </w:tabs>
        <w:suppressAutoHyphens w:val="true"/>
        <w:bidi w:val="0"/>
        <w:spacing w:before="0" w:after="0"/>
        <w:ind w:left="720" w:right="0" w:hanging="0"/>
        <w:contextualSpacing/>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
    </w:p>
    <w:p>
      <w:pPr>
        <w:pStyle w:val="ListParagraph"/>
        <w:widowControl w:val="false"/>
        <w:numPr>
          <w:ilvl w:val="0"/>
          <w:numId w:val="0"/>
        </w:numPr>
        <w:tabs>
          <w:tab w:val="clear" w:pos="720"/>
          <w:tab w:val="left" w:pos="75" w:leader="none"/>
        </w:tabs>
        <w:suppressAutoHyphens w:val="true"/>
        <w:bidi w:val="0"/>
        <w:spacing w:before="0" w:after="0"/>
        <w:ind w:left="720" w:right="0" w:hanging="0"/>
        <w:contextualSpacing/>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P</w:t>
      </w: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ara el segundo semestre, se avanza en su implementación en Ciudadela Floralia, Antonio Nariño, Los Comuneros I, El Poblado II, Nueva Floresta, Petecuy II y Los Líderes.</w:t>
      </w:r>
    </w:p>
    <w:p>
      <w:pPr>
        <w:pStyle w:val="ListParagraph"/>
        <w:ind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
    </w:p>
    <w:p>
      <w:pPr>
        <w:pStyle w:val="ListParagraph"/>
        <w:ind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En el primer semestre se implementó en: Terrón Colorado, Alfonso López I, El Poblado I, Alfonso Bonilla Aragón, Manuela Beltrán, Mojica y Siloé</w:t>
      </w:r>
    </w:p>
    <w:p>
      <w:pPr>
        <w:pStyle w:val="Normal"/>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Normal"/>
        <w:spacing w:before="0" w:after="16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También se realizaron actividades contingenciales</w:t>
      </w:r>
    </w:p>
    <w:p>
      <w:pPr>
        <w:pStyle w:val="ListParagraph"/>
        <w:widowControl w:val="false"/>
        <w:numPr>
          <w:ilvl w:val="0"/>
          <w:numId w:val="0"/>
        </w:numPr>
        <w:suppressAutoHyphens w:val="true"/>
        <w:bidi w:val="0"/>
        <w:spacing w:before="0" w:after="0"/>
        <w:ind w:left="720" w:right="0" w:hanging="0"/>
        <w:contextualSpacing/>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48 jornadas de Prevención de Dengue en los barrios Petecuy II, Ciudadela Floralia, Cristóbal Colón, Nueva Floresta, El Poblado I, Alfonso Bonilla Aragón, Llano Verde, Ciudad Córdoba, El Morichal de Comfandi, Mariano Ramos, República de Israel, Antonio Nariño, Mayapan Las Vegas, Ciudadela Comfandi, Caney, Ciudad Talanga, Valle Grande, Calimio Desepaz, San Antonio, Ciudad Capri, Lili, Ulpiano Lloreda, Villacolombia.</w:t>
      </w:r>
    </w:p>
    <w:p>
      <w:pPr>
        <w:pStyle w:val="ListParagraph"/>
        <w:ind w:left="426" w:hanging="0"/>
        <w:jc w:val="both"/>
        <w:rPr>
          <w:rFonts w:ascii="Arial" w:hAnsi="Arial" w:eastAsia="Arial Unicode MS" w:cs="Times New Roman"/>
          <w:b w:val="false"/>
          <w:b w:val="false"/>
          <w:bCs/>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Normal"/>
        <w:tabs>
          <w:tab w:val="clear" w:pos="720"/>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bCs/>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Cerca de 18.047 manzanas y 823.449 predios alcanzados con la aplicación de insecticida ULV con máquina pesada en vía pública, en sectores priorizados de 21 comunas y los corregimientos Navarro, La Buitrera y Montebello.</w:t>
      </w:r>
    </w:p>
    <w:p>
      <w:pPr>
        <w:pStyle w:val="Cuerpodetexto"/>
        <w:widowControl w:val="false"/>
        <w:suppressAutoHyphens w:val="true"/>
        <w:bidi w:val="0"/>
        <w:spacing w:lineRule="auto" w:line="276" w:before="0" w:after="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Cuerpodetexto"/>
        <w:widowControl w:val="false"/>
        <w:suppressAutoHyphens w:val="true"/>
        <w:bidi w:val="0"/>
        <w:spacing w:lineRule="auto" w:line="240" w:before="113" w:after="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
    </w:p>
    <w:p>
      <w:pPr>
        <w:pStyle w:val="Cuerpodetexto"/>
        <w:widowControl w:val="false"/>
        <w:suppressAutoHyphens w:val="true"/>
        <w:bidi w:val="0"/>
        <w:spacing w:lineRule="auto" w:line="240" w:before="113" w:after="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Conforme a lo descrito, cabe recordar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Cuerpodetexto"/>
        <w:widowControl w:val="false"/>
        <w:suppressAutoHyphens w:val="true"/>
        <w:bidi w:val="0"/>
        <w:spacing w:lineRule="auto" w:line="240" w:before="0" w:after="113"/>
        <w:ind w:left="340" w:right="0" w:hanging="0"/>
        <w:jc w:val="both"/>
        <w:rPr>
          <w:sz w:val="24"/>
          <w:szCs w:val="24"/>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1. Inspeccionar semanalmente las viviendas para eliminar depósitos con agua,  donde se pueda criar el vector. </w:t>
      </w:r>
    </w:p>
    <w:p>
      <w:pPr>
        <w:pStyle w:val="Cuerpodetexto"/>
        <w:widowControl w:val="false"/>
        <w:suppressAutoHyphens w:val="true"/>
        <w:bidi w:val="0"/>
        <w:spacing w:lineRule="auto" w:line="240" w:before="0" w:after="113"/>
        <w:ind w:left="34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u w:val="none"/>
          <w:effect w:val="none"/>
          <w:shd w:fill="FFFFFF" w:val="clear"/>
          <w:em w:val="none"/>
          <w:lang w:val="es-CO" w:eastAsia="hi-IN" w:bidi="ar-SA"/>
        </w:rPr>
      </w:pPr>
      <w:r>
        <w:rPr>
          <w:sz w:val="24"/>
          <w:szCs w:val="24"/>
        </w:rPr>
      </w:r>
    </w:p>
    <w:p>
      <w:pPr>
        <w:pStyle w:val="Cuerpodetexto"/>
        <w:widowControl w:val="false"/>
        <w:suppressAutoHyphens w:val="true"/>
        <w:bidi w:val="0"/>
        <w:spacing w:lineRule="auto" w:line="240" w:before="113" w:after="113"/>
        <w:ind w:left="340" w:right="0" w:hanging="0"/>
        <w:jc w:val="both"/>
        <w:rPr>
          <w:sz w:val="24"/>
          <w:szCs w:val="24"/>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2. Lavar y cepillar tanques cada 8 días para eliminar los huevos del mosquito de las  paredes.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u w:val="none"/>
          <w:effect w:val="none"/>
          <w:shd w:fill="FFFFFF" w:val="clear"/>
          <w:em w:val="none"/>
          <w:lang w:val="es-CO" w:eastAsia="hi-IN" w:bidi="ar-SA"/>
        </w:rPr>
      </w:pPr>
      <w:r>
        <w:rPr>
          <w:sz w:val="24"/>
          <w:szCs w:val="24"/>
        </w:rPr>
      </w:r>
    </w:p>
    <w:p>
      <w:pPr>
        <w:pStyle w:val="Cuerpodetexto"/>
        <w:widowControl w:val="false"/>
        <w:suppressAutoHyphens w:val="true"/>
        <w:bidi w:val="0"/>
        <w:spacing w:lineRule="auto" w:line="240" w:before="113" w:after="113"/>
        <w:ind w:left="340" w:right="0" w:hanging="0"/>
        <w:jc w:val="both"/>
        <w:rPr>
          <w:sz w:val="24"/>
          <w:szCs w:val="24"/>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u w:val="none"/>
          <w:effect w:val="none"/>
          <w:shd w:fill="FFFFFF" w:val="clear"/>
          <w:em w:val="none"/>
          <w:lang w:val="es-CO" w:eastAsia="hi-IN" w:bidi="ar-SA"/>
        </w:rPr>
      </w:pPr>
      <w:r>
        <w:rPr>
          <w:sz w:val="24"/>
          <w:szCs w:val="24"/>
        </w:rPr>
      </w:r>
    </w:p>
    <w:p>
      <w:pPr>
        <w:pStyle w:val="Cuerpodetexto"/>
        <w:widowControl w:val="false"/>
        <w:suppressAutoHyphens w:val="true"/>
        <w:bidi w:val="0"/>
        <w:spacing w:lineRule="auto" w:line="240" w:before="113" w:after="113"/>
        <w:ind w:left="340" w:right="0" w:hanging="0"/>
        <w:jc w:val="both"/>
        <w:rPr>
          <w:sz w:val="24"/>
          <w:szCs w:val="24"/>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u w:val="none"/>
          <w:effect w:val="none"/>
          <w:shd w:fill="FFFFFF" w:val="clear"/>
          <w:em w:val="none"/>
          <w:lang w:val="es-CO" w:eastAsia="hi-IN" w:bidi="ar-SA"/>
        </w:rPr>
      </w:pPr>
      <w:r>
        <w:rPr>
          <w:sz w:val="24"/>
          <w:szCs w:val="24"/>
        </w:rPr>
      </w:r>
    </w:p>
    <w:p>
      <w:pPr>
        <w:pStyle w:val="Cuerpodetexto"/>
        <w:widowControl w:val="false"/>
        <w:suppressAutoHyphens w:val="true"/>
        <w:bidi w:val="0"/>
        <w:spacing w:lineRule="auto" w:line="240" w:before="113" w:after="113"/>
        <w:ind w:left="340" w:right="0" w:hanging="0"/>
        <w:jc w:val="both"/>
        <w:rPr>
          <w:sz w:val="24"/>
          <w:szCs w:val="24"/>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u w:val="none"/>
          <w:effect w:val="none"/>
          <w:shd w:fill="FFFFFF" w:val="clear"/>
          <w:em w:val="none"/>
          <w:lang w:val="es-CO" w:eastAsia="hi-IN" w:bidi="ar-SA"/>
        </w:rPr>
      </w:pPr>
      <w:r>
        <w:rPr>
          <w:sz w:val="24"/>
          <w:szCs w:val="24"/>
        </w:rPr>
      </w:r>
    </w:p>
    <w:p>
      <w:pPr>
        <w:pStyle w:val="Cuerpodetexto"/>
        <w:widowControl w:val="false"/>
        <w:suppressAutoHyphens w:val="true"/>
        <w:bidi w:val="0"/>
        <w:spacing w:lineRule="auto" w:line="240" w:before="113" w:after="113"/>
        <w:ind w:left="340" w:right="0" w:hanging="0"/>
        <w:jc w:val="both"/>
        <w:rPr>
          <w:sz w:val="24"/>
          <w:szCs w:val="24"/>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u w:val="none"/>
          <w:effect w:val="none"/>
          <w:shd w:fill="FFFFFF" w:val="clear"/>
          <w:em w:val="none"/>
          <w:lang w:val="es-CO" w:eastAsia="hi-IN" w:bidi="ar-SA"/>
        </w:rPr>
      </w:pPr>
      <w:r>
        <w:rPr>
          <w:sz w:val="24"/>
          <w:szCs w:val="24"/>
        </w:rPr>
      </w:r>
    </w:p>
    <w:p>
      <w:pPr>
        <w:pStyle w:val="Cuerpodetexto"/>
        <w:widowControl w:val="false"/>
        <w:suppressAutoHyphens w:val="true"/>
        <w:bidi w:val="0"/>
        <w:spacing w:lineRule="auto" w:line="240" w:before="113" w:after="113"/>
        <w:ind w:left="340" w:right="0" w:hanging="0"/>
        <w:jc w:val="both"/>
        <w:rPr>
          <w:sz w:val="24"/>
          <w:szCs w:val="24"/>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u w:val="none"/>
          <w:effect w:val="none"/>
          <w:shd w:fill="FFFFFF" w:val="clear"/>
          <w:em w:val="none"/>
          <w:lang w:val="es-CO" w:eastAsia="hi-IN" w:bidi="ar-SA"/>
        </w:rPr>
      </w:pPr>
      <w:r>
        <w:rPr>
          <w:sz w:val="24"/>
          <w:szCs w:val="24"/>
        </w:rPr>
      </w:r>
    </w:p>
    <w:p>
      <w:pPr>
        <w:pStyle w:val="Cuerpodetexto"/>
        <w:widowControl w:val="false"/>
        <w:suppressAutoHyphens w:val="true"/>
        <w:bidi w:val="0"/>
        <w:spacing w:lineRule="auto" w:line="240" w:before="113" w:after="113"/>
        <w:ind w:left="340" w:right="0" w:hanging="0"/>
        <w:jc w:val="both"/>
        <w:rPr>
          <w:sz w:val="24"/>
          <w:szCs w:val="24"/>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Normal"/>
        <w:tabs>
          <w:tab w:val="clear" w:pos="720"/>
          <w:tab w:val="left" w:pos="735" w:leader="none"/>
        </w:tabs>
        <w:suppressAutoHyphens w:val="true"/>
        <w:spacing w:lineRule="auto" w:line="276"/>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
    </w:p>
    <w:p>
      <w:pPr>
        <w:pStyle w:val="Normal"/>
        <w:tabs>
          <w:tab w:val="clear" w:pos="720"/>
          <w:tab w:val="left" w:pos="735" w:leader="none"/>
        </w:tabs>
        <w:suppressAutoHyphens w:val="true"/>
        <w:spacing w:lineRule="auto" w:line="276"/>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Finalmente es importante tener en cuenta,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 </w:t>
      </w:r>
    </w:p>
    <w:p>
      <w:pPr>
        <w:pStyle w:val="LOnormal"/>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pP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
        <w:rPr>
          <w:rFonts w:ascii="Arial" w:hAnsi="Arial" w:cs="Arial"/>
          <w:sz w:val="16"/>
          <w:szCs w:val="16"/>
        </w:rPr>
      </w:pPr>
      <w:r>
        <w:rPr>
          <w:rFonts w:cs="Arial" w:ascii="Arial" w:hAnsi="Arial"/>
          <w:sz w:val="16"/>
          <w:szCs w:val="16"/>
        </w:rPr>
      </w:r>
    </w:p>
    <w:p>
      <w:pPr>
        <w:pStyle w:val="NormalWeb"/>
        <w:spacing w:beforeAutospacing="0" w:before="0" w:after="0"/>
        <w:rPr/>
      </w:pPr>
      <w:r>
        <w:rPr>
          <w:rFonts w:cs="Arial" w:ascii="Arial" w:hAnsi="Arial"/>
          <w:sz w:val="16"/>
          <w:szCs w:val="16"/>
          <w:lang w:val="es-ES"/>
        </w:rPr>
        <w:t xml:space="preserve">Proyectó: Clara Inés Solis Sandoval- Contratista </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Contratista </w:t>
      </w:r>
    </w:p>
    <w:p>
      <w:pPr>
        <w:pStyle w:val="NormalWeb"/>
        <w:suppressAutoHyphens w:val="true"/>
        <w:spacing w:beforeAutospacing="0" w:before="0" w:after="0"/>
        <w:jc w:val="both"/>
        <w:rPr>
          <w:rFonts w:ascii="Arial" w:hAnsi="Arial" w:cs="Arial"/>
          <w:color w:val="000000"/>
          <w:sz w:val="16"/>
          <w:szCs w:val="16"/>
          <w:shd w:fill="FFFFFF" w:val="clear"/>
          <w:lang w:val="es-ES"/>
        </w:rPr>
      </w:pPr>
      <w:r>
        <w:rPr>
          <w:rFonts w:cs="Arial" w:ascii="Arial" w:hAnsi="Arial"/>
          <w:color w:val="000000"/>
          <w:sz w:val="16"/>
          <w:szCs w:val="16"/>
          <w:shd w:fill="FFFFFF" w:val="clear"/>
          <w:lang w:val="es-ES"/>
        </w:rPr>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hyperlink r:id="rId5" w:tgtFrame="_blank">
        <w:r>
          <w:drawing>
            <wp:anchor behindDoc="0" distT="0" distB="0" distL="0" distR="0" simplePos="0" locked="0" layoutInCell="0" allowOverlap="1" relativeHeight="19">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r>
          <w:rPr>
            <w:rStyle w:val="EnlacedeInternet"/>
            <w:rFonts w:cs="Arial" w:ascii="Arial" w:hAnsi="Arial"/>
            <w:color w:val="FFFFFF"/>
            <w:sz w:val="16"/>
            <w:szCs w:val="16"/>
            <w:shd w:fill="FFFFFF" w:val="clear"/>
          </w:rPr>
          <w:t>h</w:t>
        </w:r>
        <w:r>
          <w:rPr>
            <w:rStyle w:val="EnlacedeInternet"/>
            <w:rFonts w:cs="Arial" w:ascii="Arial" w:hAnsi="Arial"/>
            <w:color w:val="FFFFFF"/>
            <w:sz w:val="16"/>
            <w:szCs w:val="16"/>
            <w:shd w:fill="FFFFFF" w:val="clear"/>
          </w:rPr>
          <w:t>ttp://www.c</w:t>
        </w:r>
      </w:hyperlink>
    </w:p>
    <w:sectPr>
      <w:headerReference w:type="default" r:id="rId6"/>
      <w:footerReference w:type="default" r:id="rId7"/>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5" wp14:anchorId="35C5AF76">
              <wp:simplePos x="0" y="0"/>
              <wp:positionH relativeFrom="column">
                <wp:posOffset>6350</wp:posOffset>
              </wp:positionH>
              <wp:positionV relativeFrom="paragraph">
                <wp:posOffset>7264400</wp:posOffset>
              </wp:positionV>
              <wp:extent cx="1043940" cy="635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9">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4">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*202541450200002911*</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202541450200002911</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2025-01-20</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4145.020.13.1.953.000291</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202441450100046692</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*202541450200002911*</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202541450200002911</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2025-01-20</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4145.020.13.1.953.000291</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202441450100046692</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embedSystemFonts/>
  <w:defaultTabStop w:val="720"/>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20"/>
        <w:tab w:val="center" w:pos="4818" w:leader="none"/>
        <w:tab w:val="right" w:pos="9637" w:leader="none"/>
      </w:tabs>
    </w:pPr>
    <w:rPr/>
  </w:style>
  <w:style w:type="paragraph" w:styleId="Piedepgina">
    <w:name w:val="Footer"/>
    <w:basedOn w:val="Normal"/>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ListParagraph">
    <w:name w:val="List Paragraph"/>
    <w:basedOn w:val="Normal"/>
    <w:qFormat/>
    <w:pPr>
      <w:spacing w:before="0" w:after="0"/>
      <w:ind w:left="720" w:hanging="0"/>
      <w:contextualSpacing/>
    </w:pPr>
    <w:rPr>
      <w:sz w:val="20"/>
      <w:szCs w:val="20"/>
      <w:lang w:eastAsia="es-ES"/>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yperlink" Target="http://www.cali.gov.co/aplicaciones/encuestas_ciudadano/view_encuesta_satisfaccion.php"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Application>LibreOffice/7.0.3.1$Windows_X86_64 LibreOffice_project/d7547858d014d4cf69878db179d326fc3483e082</Application>
  <Pages>4</Pages>
  <Words>1032</Words>
  <Characters>5782</Characters>
  <CharactersWithSpaces>6783</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2025-01-22T10:02:06Z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